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ightChars="-1"/>
        <w:rPr>
          <w:rFonts w:ascii="Nimbus Roman No9 L" w:hAnsi="Nimbus Roman No9 L" w:eastAsia="仿宋_GB2312"/>
          <w:sz w:val="32"/>
          <w:szCs w:val="32"/>
        </w:rPr>
      </w:pPr>
      <w:r>
        <w:rPr>
          <w:rFonts w:hint="eastAsia" w:ascii="黑体" w:hAnsi="黑体" w:eastAsia="黑体" w:cs="黑体"/>
          <w:sz w:val="32"/>
          <w:szCs w:val="32"/>
        </w:rPr>
        <w:t>附件</w:t>
      </w:r>
      <w:r>
        <w:rPr>
          <w:rFonts w:hint="eastAsia" w:ascii="Nimbus Roman No9 L" w:hAnsi="Nimbus Roman No9 L" w:eastAsia="仿宋_GB2312"/>
          <w:sz w:val="32"/>
          <w:szCs w:val="32"/>
        </w:rPr>
        <w:t>1</w:t>
      </w:r>
    </w:p>
    <w:p>
      <w:pPr>
        <w:spacing w:line="68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境外申请外国人来华工作许可申请材料及要求</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（来华工作</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日以上，不含</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w:t>
      </w:r>
      <w:bookmarkEnd w:id="0"/>
    </w:p>
    <w:p>
      <w:pPr>
        <w:spacing w:line="560" w:lineRule="exact"/>
        <w:jc w:val="center"/>
        <w:rPr>
          <w:rFonts w:ascii="方正小标宋简体" w:hAnsi="方正小标宋简体" w:eastAsia="方正小标宋简体" w:cs="方正小标宋简体"/>
          <w:sz w:val="32"/>
          <w:szCs w:val="32"/>
        </w:rPr>
      </w:pPr>
    </w:p>
    <w:tbl>
      <w:tblPr>
        <w:tblStyle w:val="1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915"/>
        <w:gridCol w:w="810"/>
        <w:gridCol w:w="615"/>
        <w:gridCol w:w="705"/>
        <w:gridCol w:w="295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黑体" w:hAnsi="黑体" w:eastAsia="黑体" w:cs="黑体"/>
                <w:szCs w:val="21"/>
              </w:rPr>
              <w:t>序号</w:t>
            </w:r>
          </w:p>
        </w:tc>
        <w:tc>
          <w:tcPr>
            <w:tcW w:w="91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提交材料清单</w:t>
            </w:r>
          </w:p>
        </w:tc>
        <w:tc>
          <w:tcPr>
            <w:tcW w:w="810"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原件/</w:t>
            </w:r>
          </w:p>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复印件</w:t>
            </w:r>
          </w:p>
        </w:tc>
        <w:tc>
          <w:tcPr>
            <w:tcW w:w="61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份数</w:t>
            </w:r>
          </w:p>
        </w:tc>
        <w:tc>
          <w:tcPr>
            <w:tcW w:w="70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纸质/</w:t>
            </w:r>
          </w:p>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电子</w:t>
            </w:r>
          </w:p>
        </w:tc>
        <w:tc>
          <w:tcPr>
            <w:tcW w:w="295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要求</w:t>
            </w:r>
          </w:p>
        </w:tc>
        <w:tc>
          <w:tcPr>
            <w:tcW w:w="3300"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外国人来华工作许可申请表</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复印件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在线填写打印，申请人签字（复印或传真件）后，加盖用人单位公章或经单位授权部门公章上传至系统。</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用人单位公章包括法定名称章，以及已在系统授权备案登记的外事、人事机构和劳动合同业务公章。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工作资历证明</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符合《外国人来华工作分类标准》外国高端人才（A类）（一）入选国内相关人才计划的；（二）符合国际公认的专业成就认定标准的，该项采用承诺制。如申请人在专业领域知名奖项获奖，可提供相应获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最高学位（学历）证书或相关批准文书、职业资格证明</w:t>
            </w:r>
          </w:p>
          <w:p>
            <w:pPr>
              <w:tabs>
                <w:tab w:val="left" w:pos="2995"/>
              </w:tabs>
              <w:spacing w:line="260" w:lineRule="exact"/>
              <w:rPr>
                <w:rFonts w:ascii="仿宋_GB2312" w:hAnsi="仿宋_GB2312" w:eastAsia="仿宋_GB2312" w:cs="仿宋_GB2312"/>
                <w:szCs w:val="21"/>
              </w:rPr>
            </w:pP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最高学位（学历）证书在国外获得的，应经我驻外使、领馆或由申请人获得学位（学历）所在国驻华使、领馆或我国学历认证机构认证。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最高学位（学历）证书在港澳特别行政区和台湾地区获得的，应经我国学历认证机构认证或经所在地区公证机构公证。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最高学位（学历）证书在中国境内获得的，仅提供学历（学位）证书原件。</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我国法律法规规定应由行业主管部门前置审批或具备我国相应准入类职业资格的，应提供行业主管部门批准文书或职业资格证明。</w:t>
            </w:r>
          </w:p>
        </w:tc>
        <w:tc>
          <w:tcPr>
            <w:tcW w:w="3300" w:type="dxa"/>
            <w:vAlign w:val="center"/>
          </w:tcPr>
          <w:p>
            <w:pPr>
              <w:tabs>
                <w:tab w:val="left" w:pos="2995"/>
              </w:tabs>
              <w:spacing w:line="260" w:lineRule="exact"/>
              <w:rPr>
                <w:rFonts w:ascii="仿宋_GB2312" w:hAnsi="仿宋_GB2312" w:eastAsia="仿宋_GB2312" w:cs="仿宋_GB2312"/>
                <w:spacing w:val="-6"/>
                <w:szCs w:val="21"/>
              </w:rPr>
            </w:pPr>
            <w:r>
              <w:rPr>
                <w:rFonts w:hint="eastAsia" w:ascii="仿宋_GB2312" w:hAnsi="仿宋_GB2312" w:eastAsia="仿宋_GB2312" w:cs="仿宋_GB2312"/>
                <w:spacing w:val="-6"/>
                <w:szCs w:val="21"/>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如有国外专业资格证明，应经我驻外使、领馆认证，或获得专业资格证明所在国的驻华使、领馆认证或公证机构对原件公证。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职业资格证明在港澳特别行政区和台湾获得的，应经所在地区公证机关对原件公证。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无犯罪记录证明</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应当由申请人国籍国或经常居住地警察、安全、法院等部门出具并经我驻外使、领馆认证或外国驻华使、领馆认证。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在港澳特别行政区和台湾地区出具的无犯罪记录证明，应经所在地区公证机关公证。</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经常居住地指申请人离开国籍国最后连续居住一年以上的国家或地区，不包括在中国境内。</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无犯罪记录签发时间应在6个月内。</w:t>
            </w:r>
          </w:p>
          <w:p>
            <w:pPr>
              <w:tabs>
                <w:tab w:val="left" w:pos="2995"/>
              </w:tabs>
              <w:spacing w:line="260" w:lineRule="exact"/>
              <w:rPr>
                <w:rFonts w:ascii="仿宋_GB2312" w:hAnsi="仿宋_GB2312" w:eastAsia="仿宋_GB2312" w:cs="仿宋_GB2312"/>
                <w:szCs w:val="21"/>
              </w:rPr>
            </w:pPr>
          </w:p>
        </w:tc>
        <w:tc>
          <w:tcPr>
            <w:tcW w:w="3300"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外国高端人才（A类）该项采用承诺制。</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不接收仅为本人声明无犯罪的宣誓性无犯罪记录。</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外交（含外国驻华使、领馆）出具的非宣誓性无犯罪记录可直接接收，不再认证。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5" w:type="dxa"/>
            <w:vAlign w:val="center"/>
          </w:tcPr>
          <w:p>
            <w:pPr>
              <w:tabs>
                <w:tab w:val="left" w:pos="2995"/>
              </w:tabs>
              <w:spacing w:line="260" w:lineRule="exact"/>
              <w:rPr>
                <w:rFonts w:ascii="仿宋_GB2312" w:hAnsi="仿宋_GB2312" w:eastAsia="仿宋_GB2312" w:cs="仿宋_GB2312"/>
                <w:spacing w:val="-11"/>
                <w:szCs w:val="21"/>
              </w:rPr>
            </w:pPr>
          </w:p>
          <w:p>
            <w:pPr>
              <w:tabs>
                <w:tab w:val="left" w:pos="2995"/>
              </w:tabs>
              <w:spacing w:line="260" w:lineRule="exact"/>
              <w:rPr>
                <w:rFonts w:ascii="仿宋_GB2312" w:hAnsi="仿宋_GB2312" w:eastAsia="仿宋_GB2312" w:cs="仿宋_GB2312"/>
                <w:spacing w:val="-11"/>
                <w:szCs w:val="21"/>
              </w:rPr>
            </w:pPr>
            <w:r>
              <w:rPr>
                <w:rFonts w:hint="eastAsia" w:ascii="仿宋_GB2312" w:hAnsi="仿宋_GB2312" w:eastAsia="仿宋_GB2312" w:cs="仿宋_GB2312"/>
                <w:spacing w:val="-11"/>
                <w:szCs w:val="21"/>
              </w:rPr>
              <w:t>体检证明</w:t>
            </w:r>
          </w:p>
          <w:p>
            <w:pPr>
              <w:tabs>
                <w:tab w:val="left" w:pos="2995"/>
              </w:tabs>
              <w:spacing w:line="260" w:lineRule="exact"/>
              <w:rPr>
                <w:rFonts w:ascii="仿宋_GB2312" w:hAnsi="仿宋_GB2312" w:eastAsia="仿宋_GB2312" w:cs="仿宋_GB2312"/>
                <w:szCs w:val="21"/>
              </w:rPr>
            </w:pP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由中国检验检疫机构出具的境外人员体格检查记录验证证明或健康检查证明书，或经中国检验检疫机构认可的境外卫生医疗机构出具的体检证明，签发时间均在6个月内。</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经中国检验检疫机构认可的境外卫生医疗机构名单，可至当地驻外使领馆网站查询。可入境前采用承诺制，入境后申领《中华人民共和国外国人工作许可证》时应补充提交中国境内检验检疫机构出具的境外人员体格检查记录验证证明或健康检查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5"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pacing w:val="-17"/>
                <w:szCs w:val="21"/>
              </w:rPr>
              <w:t>聘用合同或任职证明（包括跨国公司派遣函）</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复印件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pacing w:val="-11"/>
                <w:szCs w:val="21"/>
              </w:rPr>
              <w:t>应提供中文合同，应由申请人签名并加盖单位公章，不得涂改。</w:t>
            </w:r>
            <w:r>
              <w:rPr>
                <w:rFonts w:hint="eastAsia" w:ascii="仿宋_GB2312" w:hAnsi="仿宋_GB2312" w:eastAsia="仿宋_GB2312" w:cs="仿宋_GB2312"/>
                <w:spacing w:val="-6"/>
                <w:szCs w:val="21"/>
              </w:rPr>
              <w:t>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pacing w:val="-6"/>
                <w:szCs w:val="21"/>
              </w:rPr>
              <w:t>聘用合同或任职证明（包括跨国公司派遣函）应当包括工作地点、工作内容、薪酬、来华工作时间、职位、盖章页（签字）必要内容。</w:t>
            </w:r>
            <w:r>
              <w:rPr>
                <w:rFonts w:hint="eastAsia" w:ascii="仿宋_GB2312" w:hAnsi="仿宋_GB2312" w:eastAsia="仿宋_GB2312" w:cs="仿宋_GB2312"/>
                <w:szCs w:val="21"/>
              </w:rPr>
              <w:t>任职证明适用执行政府间、国际组织间协议或协定人员、各类驻华代表处首席代表及代表及境外合同服务提供者。</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派遣函适用情形为跨国公司总部或地区总部从境外派遣经理等高级管理人员和专业技术人员至境内子公司或分公司任职，由跨国公司总部或地区总部出具。</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任职证明（包括派遣函）如缺少必要内容，需另行出具证明补充说明。</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跨国公司在华地区总部派遣经理等高级管理人员和专业技术人员至境内子公司或分公司任职的，提交派遣函以及与跨国公司在华地区总部签订的聘用合同。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申请人护照或国际旅行证件</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护照或国际旅行证件信息页。</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护照有效期不得少于6个月。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pacing w:val="-11"/>
                <w:szCs w:val="21"/>
              </w:rPr>
              <w:t>申请人6个月内正面免冠照片</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1张</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pacing w:val="-6"/>
                <w:szCs w:val="21"/>
              </w:rPr>
              <w:t>近期免冠电子照片，白色背景，无边框，面部特征完整，图像清晰，无斑点、瑕疵、印墨缺陷。JPG格式，大小40K-120k字节之间，不低于354（宽）*472（高）像素，不大于420（宽）*560（高）像素、24真色彩。</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不建议戴帽子或头巾等饰物，如因宗教原因不得不戴，应确保其不遮挡申请人整个面部。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随行家属相关证明材料</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包括随行</w:t>
            </w:r>
            <w:r>
              <w:rPr>
                <w:rFonts w:hint="eastAsia" w:ascii="仿宋_GB2312" w:hAnsi="仿宋_GB2312" w:eastAsia="仿宋_GB2312" w:cs="仿宋_GB2312"/>
                <w:spacing w:val="-6"/>
                <w:szCs w:val="21"/>
              </w:rPr>
              <w:t>家属护照（或国际旅行证件）信息页、家属关系证明（</w:t>
            </w:r>
            <w:r>
              <w:rPr>
                <w:rFonts w:hint="eastAsia" w:ascii="仿宋_GB2312" w:hAnsi="仿宋_GB2312" w:eastAsia="仿宋_GB2312" w:cs="仿宋_GB2312"/>
                <w:szCs w:val="21"/>
              </w:rPr>
              <w:t>配偶—结婚证书，子女-子女出生证明或收养证明，父母或配偶父母—申请人出生证明或结婚证书或公证证明</w:t>
            </w:r>
            <w:r>
              <w:rPr>
                <w:rFonts w:hint="eastAsia" w:ascii="仿宋_GB2312" w:hAnsi="仿宋_GB2312" w:eastAsia="仿宋_GB2312" w:cs="仿宋_GB2312"/>
                <w:spacing w:val="-6"/>
                <w:szCs w:val="21"/>
              </w:rPr>
              <w:t>）、体检</w:t>
            </w:r>
            <w:r>
              <w:rPr>
                <w:rFonts w:hint="eastAsia" w:ascii="仿宋_GB2312" w:hAnsi="仿宋_GB2312" w:eastAsia="仿宋_GB2312" w:cs="仿宋_GB2312"/>
                <w:szCs w:val="21"/>
              </w:rPr>
              <w:t>报告（18周岁以上家属）以及电子照片。</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随行家属包括配偶、未年满18周岁的子女、父母及配偶父母。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其他材料</w:t>
            </w:r>
          </w:p>
        </w:tc>
        <w:tc>
          <w:tcPr>
            <w:tcW w:w="810" w:type="dxa"/>
            <w:vAlign w:val="center"/>
          </w:tcPr>
          <w:p>
            <w:pPr>
              <w:tabs>
                <w:tab w:val="left" w:pos="2995"/>
              </w:tabs>
              <w:spacing w:line="260" w:lineRule="exact"/>
              <w:rPr>
                <w:rFonts w:ascii="仿宋_GB2312" w:hAnsi="仿宋_GB2312" w:eastAsia="仿宋_GB2312" w:cs="仿宋_GB2312"/>
                <w:szCs w:val="21"/>
              </w:rPr>
            </w:pPr>
          </w:p>
        </w:tc>
        <w:tc>
          <w:tcPr>
            <w:tcW w:w="615" w:type="dxa"/>
            <w:vAlign w:val="center"/>
          </w:tcPr>
          <w:p>
            <w:pPr>
              <w:tabs>
                <w:tab w:val="left" w:pos="2995"/>
              </w:tabs>
              <w:spacing w:line="260" w:lineRule="exact"/>
              <w:rPr>
                <w:rFonts w:ascii="仿宋_GB2312" w:hAnsi="仿宋_GB2312" w:eastAsia="仿宋_GB2312" w:cs="仿宋_GB2312"/>
                <w:szCs w:val="21"/>
              </w:rPr>
            </w:pPr>
          </w:p>
        </w:tc>
        <w:tc>
          <w:tcPr>
            <w:tcW w:w="705" w:type="dxa"/>
            <w:vAlign w:val="center"/>
          </w:tcPr>
          <w:p>
            <w:pPr>
              <w:tabs>
                <w:tab w:val="left" w:pos="2995"/>
              </w:tabs>
              <w:spacing w:line="260" w:lineRule="exact"/>
              <w:rPr>
                <w:rFonts w:ascii="仿宋_GB2312" w:hAnsi="仿宋_GB2312" w:eastAsia="仿宋_GB2312" w:cs="仿宋_GB2312"/>
                <w:szCs w:val="21"/>
              </w:rPr>
            </w:pPr>
          </w:p>
        </w:tc>
        <w:tc>
          <w:tcPr>
            <w:tcW w:w="2955" w:type="dxa"/>
            <w:vAlign w:val="center"/>
          </w:tcPr>
          <w:p>
            <w:pPr>
              <w:tabs>
                <w:tab w:val="left" w:pos="2995"/>
              </w:tabs>
              <w:spacing w:line="260" w:lineRule="exact"/>
              <w:rPr>
                <w:rFonts w:ascii="仿宋_GB2312" w:hAnsi="仿宋_GB2312" w:eastAsia="仿宋_GB2312" w:cs="仿宋_GB2312"/>
                <w:szCs w:val="21"/>
              </w:rPr>
            </w:pPr>
          </w:p>
        </w:tc>
        <w:tc>
          <w:tcPr>
            <w:tcW w:w="3300" w:type="dxa"/>
            <w:vAlign w:val="center"/>
          </w:tcPr>
          <w:p>
            <w:pPr>
              <w:tabs>
                <w:tab w:val="left" w:pos="2995"/>
              </w:tabs>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78" w:type="dxa"/>
            <w:gridSpan w:val="7"/>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备注：</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1.非中文证明材料均需提供中文翻译件，并加盖用人单位公章，但护照或国际旅行证件除外。受理机构或决定机构对翻译件内容意思与原件严重不符的，可要求用人单位重新提供。</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2.所有纸质材料原件及中文翻译件均应以电子方式上传至办理系统。</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3.外国高端人才应根据外国人来华工作分类标准，提供符合认定条件的相关证明材料，由申请人在申请表中签字并加盖用人单位公章，同意许可决定机构根据需要进行补充调查。</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4.通过计点积分达到高端人才标准的，应提供相应的最高学位(学历)证书、职业资格证明、汉语水平能力（中国汉语水平考试HSK证书）、来华工作年薪的收入证明以及工作资历证明等材料。</w:t>
            </w:r>
          </w:p>
          <w:p>
            <w:pPr>
              <w:tabs>
                <w:tab w:val="left" w:pos="2995"/>
              </w:tabs>
              <w:spacing w:line="260" w:lineRule="exact"/>
              <w:rPr>
                <w:rFonts w:ascii="仿宋_GB2312" w:hAnsi="仿宋_GB2312" w:eastAsia="仿宋_GB2312" w:cs="仿宋_GB2312"/>
                <w:spacing w:val="-6"/>
                <w:szCs w:val="21"/>
              </w:rPr>
            </w:pPr>
            <w:r>
              <w:rPr>
                <w:rFonts w:hint="eastAsia" w:ascii="仿宋_GB2312" w:hAnsi="仿宋_GB2312" w:eastAsia="仿宋_GB2312" w:cs="仿宋_GB2312"/>
                <w:szCs w:val="21"/>
              </w:rPr>
              <w:t>5.</w:t>
            </w:r>
            <w:r>
              <w:rPr>
                <w:rFonts w:hint="eastAsia" w:ascii="仿宋_GB2312" w:hAnsi="仿宋_GB2312" w:eastAsia="仿宋_GB2312" w:cs="仿宋_GB2312"/>
                <w:spacing w:val="-6"/>
                <w:szCs w:val="21"/>
              </w:rPr>
              <w:t>已获得《外国人工作许可证》的申请人再次申请时，可不提交最高学位（学历）证书。申请岗位与原工作许可批准聘用岗位相同的，可不提交工作资历证明材料。</w:t>
            </w:r>
          </w:p>
          <w:p>
            <w:pPr>
              <w:tabs>
                <w:tab w:val="left" w:pos="2995"/>
              </w:tabs>
              <w:spacing w:line="260" w:lineRule="exact"/>
              <w:rPr>
                <w:rFonts w:ascii="仿宋_GB2312" w:hAnsi="仿宋_GB2312" w:eastAsia="仿宋_GB2312" w:cs="仿宋_GB2312"/>
                <w:spacing w:val="-6"/>
                <w:szCs w:val="21"/>
              </w:rPr>
            </w:pPr>
            <w:r>
              <w:rPr>
                <w:rFonts w:hint="eastAsia" w:ascii="仿宋_GB2312" w:hAnsi="仿宋_GB2312" w:eastAsia="仿宋_GB2312" w:cs="仿宋_GB2312"/>
                <w:spacing w:val="-6"/>
                <w:szCs w:val="21"/>
              </w:rPr>
              <w:t>6.外国高端人才申请岗位（职业）与原工作许可批准聘用岗位（职业）不同的，应提供工作资历证明。我国法律法规规定应由行业主管部门前置审批或具备我国相应准入类职业资格的，还应提供行业主管部门批准文书或职业资格证明。</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7.国籍变更的，应重新申请外国人来华工作许可。</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8.关于文书领事认证规定可查询中国领事服务网（网址 http://www.cs.mfa.gov.cn/），或具体联系相应的中国驻外使、领馆。</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9.境外合同服务提供者指在中国境内无商业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境外合同提供者申请来华工作许可，除提交上述所有材料外，还需提交在中国境内获取的服务合同（应当包括合同双方主体、工作地点、合同服务内容、申请人岗位及工作内容、在华工作期限、签字页）。</w:t>
            </w:r>
          </w:p>
        </w:tc>
      </w:tr>
    </w:tbl>
    <w:p>
      <w:pPr>
        <w:rPr>
          <w:rFonts w:ascii="Nimbus Roman No9 L" w:hAnsi="Nimbus Roman No9 L" w:eastAsia="仿宋_GB2312"/>
          <w:sz w:val="32"/>
          <w:szCs w:val="32"/>
        </w:rPr>
      </w:pPr>
    </w:p>
    <w:sectPr>
      <w:footerReference r:id="rId3" w:type="default"/>
      <w:footerReference r:id="rId4" w:type="even"/>
      <w:pgSz w:w="11906" w:h="16838"/>
      <w:pgMar w:top="2098" w:right="1474" w:bottom="1984" w:left="1587" w:header="851" w:footer="1077" w:gutter="0"/>
      <w:pgNumType w:fmt="numberInDash"/>
      <w:cols w:space="0" w:num="1"/>
      <w:docGrid w:type="linesAndChars" w:linePitch="580"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4978400</wp:posOffset>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2pt;margin-top:0.75pt;height:144pt;width:144pt;mso-position-horizontal-relative:margin;mso-wrap-style:none;z-index:251659264;mso-width-relative:page;mso-height-relative:page;" filled="f" stroked="f" coordsize="21600,21600" o:gfxdata="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EOO7XAAAACgEAAA8AAAAAAAAAAQAgAAAAIgAAAGRycy9kb3ducmV2LnhtbFBL&#10;AQIUABQAAAAIAIdO4kAPFeUNMAIAAGMEAAAOAAAAAAAAAAEAIAAAACYBAABkcnMvZTJvRG9jLnht&#10;bFBLBQYAAAAABgAGAFkBAADIBQAAAAA=&#10;">
              <v:fill on="f" focussize="0,0"/>
              <v:stroke on="f" weight="0.5pt"/>
              <v:imagedata o:title=""/>
              <o:lock v:ext="edit" aspectratio="f"/>
              <v:textbox inset="0mm,0mm,0mm,0mm" style="mso-fit-shape-to-text:t;">
                <w:txbxContent>
                  <w:p>
                    <w:pPr>
                      <w:pStyle w:val="8"/>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txbxContent>
              </v:textbox>
            </v:shape>
          </w:pict>
        </mc:Fallback>
      </mc:AlternateConten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-12700</wp:posOffset>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ind w:firstLine="280" w:firstLine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pt;margin-top:0.75pt;height:144pt;width:144pt;mso-position-horizontal-relative:margin;mso-wrap-style:none;z-index:251660288;mso-width-relative:page;mso-height-relative:page;" filled="f" stroked="f" coordsize="21600,21600" o:gfxdata="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rdYWXVAAAACAEAAA8AAAAAAAAAAQAgAAAAIgAAAGRycy9kb3ducmV2LnhtbFBL&#10;AQIUABQAAAAIAIdO4kC9bWZVMgIAAGMEAAAOAAAAAAAAAAEAIAAAACQBAABkcnMvZTJvRG9jLnht&#10;bFBLBQYAAAAABgAGAFkBAADIBQAAAAA=&#10;">
              <v:fill on="f" focussize="0,0"/>
              <v:stroke on="f" weight="0.5pt"/>
              <v:imagedata o:title=""/>
              <o:lock v:ext="edit" aspectratio="f"/>
              <v:textbox inset="0mm,0mm,0mm,0mm" style="mso-fit-shape-to-text:t;">
                <w:txbxContent>
                  <w:p>
                    <w:pPr>
                      <w:pStyle w:val="8"/>
                      <w:ind w:firstLine="280" w:firstLine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documentProtection w:enforcement="0"/>
  <w:defaultTabStop w:val="420"/>
  <w:evenAndOddHeaders w:val="1"/>
  <w:drawingGridHorizontalSpacing w:val="96"/>
  <w:drawingGridVerticalSpacing w:val="29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68"/>
    <w:rsid w:val="000144F3"/>
    <w:rsid w:val="00020C56"/>
    <w:rsid w:val="00033803"/>
    <w:rsid w:val="00046F69"/>
    <w:rsid w:val="00047EED"/>
    <w:rsid w:val="00055293"/>
    <w:rsid w:val="00055E1E"/>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72A27"/>
    <w:rsid w:val="001A2DE2"/>
    <w:rsid w:val="001C0711"/>
    <w:rsid w:val="001D4F6B"/>
    <w:rsid w:val="001F2E84"/>
    <w:rsid w:val="001F4533"/>
    <w:rsid w:val="001F581A"/>
    <w:rsid w:val="001F7967"/>
    <w:rsid w:val="00212C15"/>
    <w:rsid w:val="002305B4"/>
    <w:rsid w:val="00236910"/>
    <w:rsid w:val="00240AAF"/>
    <w:rsid w:val="00242967"/>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1CEC"/>
    <w:rsid w:val="004835AC"/>
    <w:rsid w:val="004A07BE"/>
    <w:rsid w:val="004A2739"/>
    <w:rsid w:val="004A4E51"/>
    <w:rsid w:val="004B0A1A"/>
    <w:rsid w:val="004B5B63"/>
    <w:rsid w:val="004B5CEB"/>
    <w:rsid w:val="004B6ABC"/>
    <w:rsid w:val="004C289E"/>
    <w:rsid w:val="004C3631"/>
    <w:rsid w:val="004D26C0"/>
    <w:rsid w:val="004F3D93"/>
    <w:rsid w:val="00506EAE"/>
    <w:rsid w:val="00520187"/>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17F0B"/>
    <w:rsid w:val="007253A3"/>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D6BDE"/>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109"/>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0B97"/>
    <w:rsid w:val="00FD217E"/>
    <w:rsid w:val="00FD287E"/>
    <w:rsid w:val="00FD69BA"/>
    <w:rsid w:val="00FD6B3C"/>
    <w:rsid w:val="09573B21"/>
    <w:rsid w:val="1FFDA258"/>
    <w:rsid w:val="337FF96E"/>
    <w:rsid w:val="3DC7E07C"/>
    <w:rsid w:val="5BF3D9FF"/>
    <w:rsid w:val="5DF7FBB9"/>
    <w:rsid w:val="67B6A208"/>
    <w:rsid w:val="68FD1DE2"/>
    <w:rsid w:val="707F991D"/>
    <w:rsid w:val="75D3354B"/>
    <w:rsid w:val="763E8DD0"/>
    <w:rsid w:val="76EC9810"/>
    <w:rsid w:val="77EEA8F7"/>
    <w:rsid w:val="77F923E0"/>
    <w:rsid w:val="786CE7DD"/>
    <w:rsid w:val="7B7CEE83"/>
    <w:rsid w:val="7BDDB36E"/>
    <w:rsid w:val="7BFE17CB"/>
    <w:rsid w:val="7D5FC8B6"/>
    <w:rsid w:val="7D7FCBB4"/>
    <w:rsid w:val="7E279DD0"/>
    <w:rsid w:val="7F9F0338"/>
    <w:rsid w:val="9BFB0FAD"/>
    <w:rsid w:val="DF776EFA"/>
    <w:rsid w:val="E3F7F38E"/>
    <w:rsid w:val="E65DC349"/>
    <w:rsid w:val="EDEEAB00"/>
    <w:rsid w:val="EFCFA2D6"/>
    <w:rsid w:val="F3F69308"/>
    <w:rsid w:val="F3FB83E0"/>
    <w:rsid w:val="F63F5EB4"/>
    <w:rsid w:val="F9EFE82F"/>
    <w:rsid w:val="FBFBE3E3"/>
    <w:rsid w:val="FD5C192E"/>
    <w:rsid w:val="FEFF1125"/>
    <w:rsid w:val="FFDE6A61"/>
    <w:rsid w:val="FFEDC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jc w:val="center"/>
      <w:outlineLvl w:val="0"/>
    </w:pPr>
    <w:rPr>
      <w:rFonts w:eastAsia="方正黑体_GBK"/>
      <w:kern w:val="44"/>
      <w:sz w:val="32"/>
    </w:rPr>
  </w:style>
  <w:style w:type="paragraph" w:styleId="3">
    <w:name w:val="heading 2"/>
    <w:basedOn w:val="1"/>
    <w:next w:val="1"/>
    <w:unhideWhenUsed/>
    <w:qFormat/>
    <w:uiPriority w:val="9"/>
    <w:pPr>
      <w:keepNext/>
      <w:keepLines/>
      <w:spacing w:before="20" w:after="20" w:line="416" w:lineRule="auto"/>
      <w:ind w:left="200" w:leftChars="200"/>
      <w:outlineLvl w:val="1"/>
    </w:pPr>
    <w:rPr>
      <w:rFonts w:ascii="Cambria" w:hAnsi="Cambria" w:eastAsia="方正黑体_GBK"/>
      <w:bCs/>
      <w:sz w:val="32"/>
      <w:szCs w:val="32"/>
    </w:rPr>
  </w:style>
  <w:style w:type="paragraph" w:styleId="4">
    <w:name w:val="heading 3"/>
    <w:basedOn w:val="1"/>
    <w:next w:val="1"/>
    <w:unhideWhenUsed/>
    <w:qFormat/>
    <w:uiPriority w:val="9"/>
    <w:pPr>
      <w:keepNext/>
      <w:keepLines/>
      <w:spacing w:line="413" w:lineRule="auto"/>
      <w:ind w:left="300" w:leftChars="300"/>
      <w:outlineLvl w:val="2"/>
    </w:pPr>
    <w:rPr>
      <w:rFonts w:eastAsia="楷体_GB2312"/>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ind w:left="840" w:leftChars="400"/>
    </w:pPr>
  </w:style>
  <w:style w:type="paragraph" w:styleId="6">
    <w:name w:val="Date"/>
    <w:basedOn w:val="1"/>
    <w:next w:val="1"/>
    <w:qFormat/>
    <w:uiPriority w:val="0"/>
    <w:pPr>
      <w:ind w:left="100" w:leftChars="2500"/>
    </w:pPr>
    <w:rPr>
      <w:rFonts w:ascii="仿宋_GB2312" w:eastAsia="仿宋_GB2312"/>
      <w:sz w:val="32"/>
    </w:rPr>
  </w:style>
  <w:style w:type="paragraph" w:styleId="7">
    <w:name w:val="Balloon Text"/>
    <w:basedOn w:val="1"/>
    <w:semiHidden/>
    <w:qFormat/>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页脚 Char"/>
    <w:link w:val="8"/>
    <w:qFormat/>
    <w:uiPriority w:val="99"/>
    <w:rPr>
      <w:kern w:val="2"/>
      <w:sz w:val="18"/>
      <w:szCs w:val="18"/>
    </w:rPr>
  </w:style>
  <w:style w:type="paragraph" w:customStyle="1" w:styleId="17">
    <w:name w:val="普通(网站)1"/>
    <w:basedOn w:val="1"/>
    <w:qFormat/>
    <w:uiPriority w:val="0"/>
    <w:pPr>
      <w:widowControl/>
      <w:adjustRightInd w:val="0"/>
      <w:spacing w:before="100" w:beforeAutospacing="1" w:after="100" w:afterAutospacing="1" w:line="312" w:lineRule="atLeast"/>
      <w:jc w:val="left"/>
      <w:textAlignment w:val="baseline"/>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tjec</Company>
  <Pages>3</Pages>
  <Words>449</Words>
  <Characters>2561</Characters>
  <Lines>21</Lines>
  <Paragraphs>6</Paragraphs>
  <TotalTime>1</TotalTime>
  <ScaleCrop>false</ScaleCrop>
  <LinksUpToDate>false</LinksUpToDate>
  <CharactersWithSpaces>3004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2021-03-26T05:43:00Z</dcterms:created>
  <dc:creator>办公室</dc:creator>
  <cp:lastModifiedBy>YY</cp:lastModifiedBy>
  <cp:lastPrinted>2014-07-01T17:59:00Z</cp:lastPrinted>
  <dcterms:modified xsi:type="dcterms:W3CDTF">2021-04-09T03:49:44Z</dcterms:modified>
  <dc:title>津经[2003]号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