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Nimbus Roman No9 L" w:hAnsi="Nimbus Roman No9 L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Nimbus Roman No9 L" w:hAnsi="Nimbus Roman No9 L" w:eastAsia="仿宋_GB2312"/>
          <w:sz w:val="32"/>
          <w:szCs w:val="32"/>
        </w:rPr>
        <w:t>4</w:t>
      </w:r>
    </w:p>
    <w:p>
      <w:pPr>
        <w:spacing w:line="560" w:lineRule="exact"/>
        <w:jc w:val="left"/>
        <w:rPr>
          <w:rFonts w:ascii="Nimbus Roman No9 L" w:hAnsi="Nimbus Roman No9 L" w:eastAsia="仿宋_GB2312"/>
          <w:sz w:val="32"/>
          <w:szCs w:val="32"/>
        </w:rPr>
      </w:pPr>
    </w:p>
    <w:p>
      <w:pPr>
        <w:spacing w:line="680" w:lineRule="exact"/>
        <w:jc w:val="center"/>
        <w:rPr>
          <w:rFonts w:ascii="Nimbus Roman No9 L" w:hAnsi="Nimbus Roman No9 L" w:eastAsia="仿宋_GB2312"/>
          <w:snapToGrid w:val="0"/>
          <w:kern w:val="0"/>
          <w:sz w:val="32"/>
          <w:szCs w:val="32"/>
        </w:rPr>
      </w:pPr>
      <w:bookmarkStart w:id="0" w:name="_GoBack"/>
      <w:r>
        <w:rPr>
          <w:rFonts w:hint="eastAsia" w:ascii="Nimbus Roman No9 L" w:hAnsi="Nimbus Roman No9 L" w:eastAsia="方正小标宋简体" w:cs="方正小标宋简体"/>
          <w:snapToGrid w:val="0"/>
          <w:kern w:val="0"/>
          <w:sz w:val="44"/>
          <w:szCs w:val="44"/>
        </w:rPr>
        <w:t>外国高端人才便利措施</w:t>
      </w:r>
      <w:bookmarkEnd w:id="0"/>
    </w:p>
    <w:p>
      <w:pPr>
        <w:spacing w:line="540" w:lineRule="exact"/>
        <w:ind w:firstLine="606" w:firstLineChars="200"/>
        <w:rPr>
          <w:rFonts w:ascii="Nimbus Roman No9 L" w:hAnsi="Nimbus Roman No9 L" w:eastAsia="仿宋_GB2312" w:cs="仿宋_GB2312"/>
          <w:sz w:val="32"/>
          <w:szCs w:val="32"/>
        </w:rPr>
      </w:pPr>
    </w:p>
    <w:p>
      <w:pPr>
        <w:spacing w:line="540" w:lineRule="exact"/>
        <w:ind w:firstLine="606" w:firstLineChars="200"/>
        <w:rPr>
          <w:rFonts w:ascii="Nimbus Roman No9 L" w:hAnsi="Nimbus Roman No9 L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napToGrid w:val="0"/>
          <w:kern w:val="0"/>
          <w:sz w:val="32"/>
          <w:szCs w:val="32"/>
        </w:rPr>
        <w:t>外国高端人才</w:t>
      </w: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</w:rPr>
        <w:t>（</w:t>
      </w:r>
      <w:r>
        <w:rPr>
          <w:rFonts w:hint="eastAsia" w:ascii="Nimbus Roman No9 L" w:hAnsi="Nimbus Roman No9 L" w:eastAsia="仿宋_GB2312" w:cs="仿宋_GB2312"/>
          <w:snapToGrid w:val="0"/>
          <w:kern w:val="0"/>
          <w:sz w:val="32"/>
          <w:szCs w:val="32"/>
        </w:rPr>
        <w:t>A类</w:t>
      </w: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</w:rPr>
        <w:t>）</w:t>
      </w:r>
      <w:r>
        <w:rPr>
          <w:rFonts w:hint="eastAsia" w:ascii="Nimbus Roman No9 L" w:hAnsi="Nimbus Roman No9 L" w:eastAsia="仿宋_GB2312" w:cs="仿宋_GB2312"/>
          <w:snapToGrid w:val="0"/>
          <w:kern w:val="0"/>
          <w:sz w:val="32"/>
          <w:szCs w:val="32"/>
        </w:rPr>
        <w:t>申请外国人来华工作许可，以及申请外国人来华工作许可延期、注销的，提供如下便利措施：</w:t>
      </w:r>
    </w:p>
    <w:p>
      <w:pPr>
        <w:spacing w:line="540" w:lineRule="exact"/>
        <w:ind w:firstLine="606" w:firstLineChars="200"/>
        <w:rPr>
          <w:rFonts w:ascii="Nimbus Roman No9 L" w:hAnsi="Nimbus Roman No9 L" w:eastAsia="仿宋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</w:rPr>
        <w:t>1.受理机构网上预审通过的直接受理，给予受理电子回执单。申请人入境前不需提供纸质材料进行核验；</w:t>
      </w:r>
    </w:p>
    <w:p>
      <w:pPr>
        <w:spacing w:line="540" w:lineRule="exact"/>
        <w:ind w:firstLine="606" w:firstLineChars="200"/>
        <w:rPr>
          <w:rFonts w:ascii="Nimbus Roman No9 L" w:hAnsi="Nimbus Roman No9 L" w:eastAsia="仿宋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</w:rPr>
        <w:t>2.入选国内相关人才计划的外国高端人才，全流程在线办理，无需提交纸质材料核验；</w:t>
      </w:r>
    </w:p>
    <w:p>
      <w:pPr>
        <w:numPr>
          <w:ilvl w:val="0"/>
          <w:numId w:val="1"/>
        </w:numPr>
        <w:spacing w:line="540" w:lineRule="exact"/>
        <w:ind w:firstLine="606" w:firstLineChars="200"/>
        <w:rPr>
          <w:rFonts w:ascii="Nimbus Roman No9 L" w:hAnsi="Nimbus Roman No9 L" w:eastAsia="仿宋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</w:rPr>
        <w:t>符合《外国人来华工作分类标准》外国高端人才（A类）</w:t>
      </w:r>
    </w:p>
    <w:p>
      <w:pPr>
        <w:numPr>
          <w:ilvl w:val="255"/>
          <w:numId w:val="0"/>
        </w:numPr>
        <w:spacing w:line="540" w:lineRule="exact"/>
        <w:rPr>
          <w:rFonts w:ascii="Nimbus Roman No9 L" w:hAnsi="Nimbus Roman No9 L" w:eastAsia="仿宋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</w:rPr>
        <w:t>（1）入选国内相关人才计划的；（2）符合国际公认的专业成</w:t>
      </w:r>
    </w:p>
    <w:p>
      <w:pPr>
        <w:spacing w:line="540" w:lineRule="exact"/>
        <w:rPr>
          <w:rFonts w:ascii="Nimbus Roman No9 L" w:hAnsi="Nimbus Roman No9 L" w:eastAsia="仿宋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</w:rPr>
        <w:t>就认定标准的，工作资历证明采用承诺制；</w:t>
      </w:r>
    </w:p>
    <w:p>
      <w:pPr>
        <w:spacing w:line="540" w:lineRule="exact"/>
        <w:ind w:firstLine="606" w:firstLineChars="200"/>
        <w:rPr>
          <w:rFonts w:ascii="Nimbus Roman No9 L" w:hAnsi="Nimbus Roman No9 L" w:eastAsia="仿宋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</w:rPr>
        <w:t>4.符合《外国人来华工作分类标准》外国高端人才（A类）（1）入选国内相关人才计划的；（2）符合国际公认的专业成就认定标准的；（3）符合市场导向的鼓励类岗位需求的外国人才；（4）创新创业人才的，最高学位（学历）证书采用承诺制；</w:t>
      </w:r>
    </w:p>
    <w:p>
      <w:pPr>
        <w:spacing w:line="540" w:lineRule="exact"/>
        <w:ind w:firstLine="606" w:firstLineChars="200"/>
        <w:rPr>
          <w:rFonts w:ascii="Nimbus Roman No9 L" w:hAnsi="Nimbus Roman No9 L" w:eastAsia="仿宋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</w:rPr>
        <w:t>5.无犯罪记录证明采用承诺制；</w:t>
      </w:r>
    </w:p>
    <w:p>
      <w:pPr>
        <w:spacing w:line="540" w:lineRule="exact"/>
        <w:ind w:firstLine="606" w:firstLineChars="200"/>
        <w:rPr>
          <w:rFonts w:ascii="Nimbus Roman No9 L" w:hAnsi="Nimbus Roman No9 L" w:eastAsia="仿宋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</w:rPr>
        <w:t>6.持其他签证或有效居留证件已入境的，可境内申请外国人来华工作许可；</w:t>
      </w:r>
    </w:p>
    <w:p>
      <w:pPr>
        <w:spacing w:line="540" w:lineRule="exact"/>
        <w:ind w:firstLine="606" w:firstLineChars="200"/>
        <w:rPr>
          <w:rFonts w:ascii="Nimbus Roman No9 L" w:hAnsi="Nimbus Roman No9 L" w:eastAsia="仿宋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</w:rPr>
        <w:t>7.申请外国人来华工作许可、外国人来华工作许可延期、注销申请的，决定机构在5个工作日内进行审查并作出决定。</w:t>
      </w:r>
    </w:p>
    <w:p>
      <w:pPr>
        <w:spacing w:line="540" w:lineRule="exact"/>
        <w:ind w:firstLine="606" w:firstLineChars="200"/>
        <w:rPr>
          <w:rFonts w:ascii="Nimbus Roman No9 L" w:hAnsi="Nimbus Roman No9 L" w:eastAsia="仿宋_GB2312"/>
          <w:sz w:val="32"/>
          <w:szCs w:val="32"/>
        </w:rPr>
      </w:pPr>
      <w:r>
        <w:rPr>
          <w:rFonts w:hint="eastAsia" w:ascii="Nimbus Roman No9 L" w:hAnsi="Nimbus Roman No9 L" w:eastAsia="仿宋_GB2312"/>
          <w:snapToGrid w:val="0"/>
          <w:kern w:val="0"/>
          <w:sz w:val="32"/>
          <w:szCs w:val="32"/>
        </w:rPr>
        <w:t>8.可给予最长期限达5年的外国人来华工作许可。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077" w:gutter="0"/>
      <w:pgNumType w:fmt="numberInDash"/>
      <w:cols w:space="0" w:num="1"/>
      <w:docGrid w:type="linesAndChars" w:linePitch="580" w:charSpace="-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8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4978400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right="28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pt;margin-top: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/EOO7XAAAACgEAAA8AAAAAAAAAAQAgAAAAIgAAAGRycy9kb3ducmV2LnhtbFBL&#10;AQIUABQAAAAIAIdO4kAPFeUNMAIAAGMEAAAOAAAAAAAAAAEAIAAAACY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right="28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-12700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280" w:firstLineChars="10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pt;margin-top:0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rdYWXVAAAACAEAAA8AAAAAAAAAAQAgAAAAIgAAAGRycy9kb3ducmV2LnhtbFBL&#10;AQIUABQAAAAIAIdO4kC9bWZVMgIAAGM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280" w:firstLineChars="10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CDA0"/>
    <w:multiLevelType w:val="singleLevel"/>
    <w:tmpl w:val="58D9CDA0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96"/>
  <w:drawingGridVerticalSpacing w:val="290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F68"/>
    <w:rsid w:val="000144F3"/>
    <w:rsid w:val="00020C56"/>
    <w:rsid w:val="00033803"/>
    <w:rsid w:val="00046F69"/>
    <w:rsid w:val="00047EED"/>
    <w:rsid w:val="00055E1E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5F7A"/>
    <w:rsid w:val="00100C4E"/>
    <w:rsid w:val="001032D1"/>
    <w:rsid w:val="00107027"/>
    <w:rsid w:val="00163844"/>
    <w:rsid w:val="00166523"/>
    <w:rsid w:val="00172A27"/>
    <w:rsid w:val="001A2DE2"/>
    <w:rsid w:val="001C0711"/>
    <w:rsid w:val="001D4F6B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9400E"/>
    <w:rsid w:val="003A0AC9"/>
    <w:rsid w:val="003A3DA5"/>
    <w:rsid w:val="003B29D8"/>
    <w:rsid w:val="003B38AB"/>
    <w:rsid w:val="003B3968"/>
    <w:rsid w:val="003E737B"/>
    <w:rsid w:val="003F100B"/>
    <w:rsid w:val="003F3155"/>
    <w:rsid w:val="003F43D1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3BF5"/>
    <w:rsid w:val="00506EAE"/>
    <w:rsid w:val="00520187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F4EB6"/>
    <w:rsid w:val="00701D78"/>
    <w:rsid w:val="00711092"/>
    <w:rsid w:val="007177BD"/>
    <w:rsid w:val="00717F0B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D6BDE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75464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847E3"/>
    <w:rsid w:val="00C95D69"/>
    <w:rsid w:val="00CA1F4C"/>
    <w:rsid w:val="00CA2B2A"/>
    <w:rsid w:val="00CC2DED"/>
    <w:rsid w:val="00CC7109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39EC"/>
    <w:rsid w:val="00DE75AF"/>
    <w:rsid w:val="00E34793"/>
    <w:rsid w:val="00E55524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D0B97"/>
    <w:rsid w:val="00FD217E"/>
    <w:rsid w:val="00FD287E"/>
    <w:rsid w:val="00FD69BA"/>
    <w:rsid w:val="00FD6B3C"/>
    <w:rsid w:val="1FFDA258"/>
    <w:rsid w:val="337FF96E"/>
    <w:rsid w:val="3DC7E07C"/>
    <w:rsid w:val="5BF3D9FF"/>
    <w:rsid w:val="5DF7FBB9"/>
    <w:rsid w:val="67B6A208"/>
    <w:rsid w:val="68FD1DE2"/>
    <w:rsid w:val="707F991D"/>
    <w:rsid w:val="75D3354B"/>
    <w:rsid w:val="763E8DD0"/>
    <w:rsid w:val="76EC9810"/>
    <w:rsid w:val="77522F21"/>
    <w:rsid w:val="77EEA8F7"/>
    <w:rsid w:val="77F923E0"/>
    <w:rsid w:val="786CE7DD"/>
    <w:rsid w:val="7B7CEE83"/>
    <w:rsid w:val="7BDDB36E"/>
    <w:rsid w:val="7BFE17CB"/>
    <w:rsid w:val="7D5FC8B6"/>
    <w:rsid w:val="7D7FCBB4"/>
    <w:rsid w:val="7E279DD0"/>
    <w:rsid w:val="7F9F0338"/>
    <w:rsid w:val="9BFB0FAD"/>
    <w:rsid w:val="DF776EFA"/>
    <w:rsid w:val="E3F7F38E"/>
    <w:rsid w:val="E65DC349"/>
    <w:rsid w:val="EDEEAB00"/>
    <w:rsid w:val="EFCFA2D6"/>
    <w:rsid w:val="F3F69308"/>
    <w:rsid w:val="F3FB83E0"/>
    <w:rsid w:val="F63F5EB4"/>
    <w:rsid w:val="F9EFE82F"/>
    <w:rsid w:val="FBFBE3E3"/>
    <w:rsid w:val="FD5C192E"/>
    <w:rsid w:val="FEFF1125"/>
    <w:rsid w:val="FFDE6A61"/>
    <w:rsid w:val="FFEDC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qFormat="1" w:uiPriority="39" w:name="toc 2"/>
    <w:lsdException w:qFormat="1" w:uiPriority="39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jc w:val="center"/>
      <w:outlineLvl w:val="0"/>
    </w:pPr>
    <w:rPr>
      <w:rFonts w:eastAsia="方正黑体_GBK"/>
      <w:kern w:val="44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0" w:after="20" w:line="416" w:lineRule="auto"/>
      <w:ind w:left="200" w:leftChars="200"/>
      <w:outlineLvl w:val="1"/>
    </w:pPr>
    <w:rPr>
      <w:rFonts w:ascii="Cambria" w:hAnsi="Cambria" w:eastAsia="方正黑体_GBK"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ind w:left="300" w:leftChars="300"/>
      <w:outlineLvl w:val="2"/>
    </w:pPr>
    <w:rPr>
      <w:rFonts w:eastAsia="楷体_GB2312"/>
      <w:sz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semiHidden/>
    <w:unhideWhenUsed/>
    <w:qFormat/>
    <w:uiPriority w:val="39"/>
  </w:style>
  <w:style w:type="paragraph" w:styleId="11">
    <w:name w:val="toc 2"/>
    <w:basedOn w:val="1"/>
    <w:next w:val="1"/>
    <w:semiHidden/>
    <w:unhideWhenUsed/>
    <w:qFormat/>
    <w:uiPriority w:val="39"/>
    <w:pPr>
      <w:ind w:left="420" w:leftChars="200"/>
    </w:p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customStyle="1" w:styleId="16">
    <w:name w:val="页脚 Char"/>
    <w:link w:val="8"/>
    <w:qFormat/>
    <w:uiPriority w:val="99"/>
    <w:rPr>
      <w:kern w:val="2"/>
      <w:sz w:val="18"/>
      <w:szCs w:val="18"/>
    </w:rPr>
  </w:style>
  <w:style w:type="paragraph" w:customStyle="1" w:styleId="17">
    <w:name w:val="普通(网站)1"/>
    <w:basedOn w:val="1"/>
    <w:qFormat/>
    <w:uiPriority w:val="0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tjec</Company>
  <Pages>1</Pages>
  <Words>70</Words>
  <Characters>404</Characters>
  <Lines>3</Lines>
  <Paragraphs>1</Paragraphs>
  <TotalTime>1</TotalTime>
  <ScaleCrop>false</ScaleCrop>
  <LinksUpToDate>false</LinksUpToDate>
  <CharactersWithSpaces>473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2021-03-26T05:44:00Z</dcterms:created>
  <dc:creator>办公室</dc:creator>
  <cp:lastModifiedBy>YY</cp:lastModifiedBy>
  <cp:lastPrinted>2014-07-01T17:59:00Z</cp:lastPrinted>
  <dcterms:modified xsi:type="dcterms:W3CDTF">2021-04-09T03:50:53Z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